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37" w:rsidRDefault="001E1684" w:rsidP="001E1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1E1684" w:rsidRPr="001E1684" w:rsidRDefault="00344737" w:rsidP="001E16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1E1684" w:rsidRPr="001E1684">
        <w:rPr>
          <w:rFonts w:ascii="Times New Roman" w:eastAsia="Calibri" w:hAnsi="Times New Roman" w:cs="Times New Roman"/>
          <w:color w:val="000000"/>
          <w:sz w:val="28"/>
          <w:szCs w:val="28"/>
        </w:rPr>
        <w:t>Додаток 1</w:t>
      </w:r>
    </w:p>
    <w:p w:rsidR="001E1684" w:rsidRPr="001E1684" w:rsidRDefault="001E1684" w:rsidP="001E16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до Методичних рекомендацій</w:t>
      </w:r>
    </w:p>
    <w:p w:rsidR="001E1684" w:rsidRPr="001E1684" w:rsidRDefault="001E1684" w:rsidP="001E168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1E1684" w:rsidRPr="001E1684" w:rsidRDefault="001E1684" w:rsidP="009950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16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Рекомендовані основні заходи, що становлять зміст </w:t>
      </w:r>
    </w:p>
    <w:p w:rsidR="001E1684" w:rsidRPr="001E1684" w:rsidRDefault="001E1684" w:rsidP="009950D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E168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послуги раннього втручання</w:t>
      </w:r>
      <w:r w:rsidR="003B483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1E1684" w:rsidRPr="001E1684" w:rsidRDefault="00983573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в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изначення відповідності потреб дитини та її сім’ї критеріям отриман</w:t>
      </w:r>
      <w:r w:rsidR="009950DE">
        <w:rPr>
          <w:rFonts w:ascii="Times New Roman" w:eastAsia="MS Mincho" w:hAnsi="Times New Roman" w:cs="Times New Roman"/>
          <w:sz w:val="28"/>
          <w:szCs w:val="28"/>
          <w:lang w:eastAsia="ja-JP"/>
        </w:rPr>
        <w:t>ня послуги раннього втручання, в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тому числі проведення скринінгу оцінки розвитку дитини;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проведення оцінки потреб</w:t>
      </w:r>
      <w:r w:rsidR="00BE5E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та пріоритетів,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розроблення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індивідуального сімейного плану раннього втручання;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сприяння розвитку функціонування дитини та її сім’ї в природних ситуаціях;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="00EB4E1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регулярні зустрічі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реалізації індивідуального сімейного плану раннього вт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ручання в природн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ому середовищі та в приміщенні надавача послуги раннього втручання; 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передання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сім’ї дитини знань та вмінь, навчання розвивальн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им стратегіям, їх застосування в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активн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остях</w:t>
      </w:r>
      <w:proofErr w:type="spellEnd"/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дитини; 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підбір та адаптація спеціального обладнання та засобів альтернативної та додаткової комунікації для дитини, навчання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користування ним</w:t>
      </w:r>
      <w:r w:rsidR="003B483A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 та її сім’ї в природн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ому середовищі;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консультування сім’ї дитини з питань розвитку дитини, оптимізації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стосунків між батьками та дітьми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та організації розвивального середовища</w:t>
      </w:r>
      <w:r w:rsidR="003B483A" w:rsidRPr="003B48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B483A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для дитини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</w:t>
      </w:r>
    </w:p>
    <w:p w:rsid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пси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хологічне консультування жінок у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стані післяпологової депресії;</w:t>
      </w:r>
    </w:p>
    <w:p w:rsidR="003B483A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підтримка соціалізації жінок у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стані післяпологової депресії;</w:t>
      </w:r>
    </w:p>
    <w:p w:rsidR="003B483A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корот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котривале консультування жінок у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стані післяпологової де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пресії, що не потребують розроблення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індивідуального сімейного плану раннього втручання;  </w:t>
      </w:r>
    </w:p>
    <w:p w:rsidR="003B483A" w:rsidRPr="001E1684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створення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психотерапевтичних груп для жінок у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стані післяпологової депресії;                                                                                    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сприяння розвитку мобільності дитини;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сприяння розвитку у дитини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навичок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самообслуговування і побутових навичок;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сприяння розвитку пізнавальної активності дитини;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підтримка соціалізації дитини;</w:t>
      </w:r>
    </w:p>
    <w:p w:rsidR="001E1684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короткотривале консультува</w:t>
      </w:r>
      <w:r w:rsidR="003B483A">
        <w:rPr>
          <w:rFonts w:ascii="Times New Roman" w:eastAsia="MS Mincho" w:hAnsi="Times New Roman" w:cs="Times New Roman"/>
          <w:sz w:val="28"/>
          <w:szCs w:val="28"/>
          <w:lang w:eastAsia="ja-JP"/>
        </w:rPr>
        <w:t>нн</w:t>
      </w:r>
      <w:r w:rsidR="00EB4E1D">
        <w:rPr>
          <w:rFonts w:ascii="Times New Roman" w:eastAsia="MS Mincho" w:hAnsi="Times New Roman" w:cs="Times New Roman"/>
          <w:sz w:val="28"/>
          <w:szCs w:val="28"/>
          <w:lang w:eastAsia="ja-JP"/>
        </w:rPr>
        <w:t>я сім’ї дитини, що не потребує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розроблення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індивідуального сімейного плану раннього втручання;</w:t>
      </w:r>
    </w:p>
    <w:p w:rsidR="009950DE" w:rsidRPr="001E1684" w:rsidRDefault="009950DE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оцінка ефективності реалізації індивідуального сімейного плану раннього втручання та регулярний його перегляд (за потреби) спільно із сім’єю дитини;</w:t>
      </w:r>
    </w:p>
    <w:p w:rsidR="003B483A" w:rsidRPr="001E1684" w:rsidRDefault="00FA7D97" w:rsidP="00EB4E1D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         </w:t>
      </w:r>
      <w:r w:rsidR="003B48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</w:t>
      </w:r>
      <w:r w:rsidR="00EB4E1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</w:t>
      </w:r>
      <w:bookmarkStart w:id="0" w:name="_GoBack"/>
      <w:bookmarkEnd w:id="0"/>
      <w:r w:rsidR="003B483A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Продовження </w:t>
      </w:r>
      <w:r w:rsidR="003B483A">
        <w:rPr>
          <w:rFonts w:ascii="Times New Roman" w:eastAsia="Calibri" w:hAnsi="Times New Roman" w:cs="Times New Roman"/>
          <w:color w:val="000000"/>
          <w:sz w:val="28"/>
          <w:szCs w:val="28"/>
        </w:rPr>
        <w:t>додатка</w:t>
      </w:r>
      <w:r w:rsidR="003B483A" w:rsidRPr="001E1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</w:p>
    <w:p w:rsidR="003B483A" w:rsidRPr="001E1684" w:rsidRDefault="003B483A" w:rsidP="003B483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Pr="001E1684">
        <w:rPr>
          <w:rFonts w:ascii="Times New Roman" w:eastAsia="Calibri" w:hAnsi="Times New Roman" w:cs="Times New Roman"/>
          <w:color w:val="000000"/>
          <w:sz w:val="28"/>
          <w:szCs w:val="28"/>
        </w:rPr>
        <w:t>до Методичних рекомендацій</w:t>
      </w:r>
    </w:p>
    <w:p w:rsidR="003B483A" w:rsidRDefault="003B483A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A7D97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r w:rsidR="00FA7D97">
        <w:rPr>
          <w:rFonts w:ascii="Times New Roman" w:eastAsia="MS Mincho" w:hAnsi="Times New Roman" w:cs="Times New Roman"/>
          <w:sz w:val="28"/>
          <w:szCs w:val="28"/>
          <w:lang w:eastAsia="ja-JP"/>
        </w:rPr>
        <w:t>організація регулярних зустрічей</w:t>
      </w:r>
      <w:r w:rsidR="009950DE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9950DE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r w:rsidR="009950DE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з сім’єю дитини (за потреби) для обговорення реалізації індивідуального сімейного плану раннього втручання;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           </w:t>
      </w:r>
      <w:r w:rsidR="00FA7D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</w:t>
      </w:r>
    </w:p>
    <w:p w:rsidR="003B483A" w:rsidRDefault="00FA7D97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="003B483A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консультування сім’ї дитини та фахівців закладів дошкільної ос</w:t>
      </w:r>
      <w:r w:rsidR="003B483A">
        <w:rPr>
          <w:rFonts w:ascii="Times New Roman" w:eastAsia="MS Mincho" w:hAnsi="Times New Roman" w:cs="Times New Roman"/>
          <w:sz w:val="28"/>
          <w:szCs w:val="28"/>
          <w:lang w:eastAsia="ja-JP"/>
        </w:rPr>
        <w:t>віти у процесі переходу дитини до цього закладу (програми</w:t>
      </w:r>
      <w:r w:rsidR="003B483A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);</w:t>
      </w:r>
    </w:p>
    <w:p w:rsidR="003B483A" w:rsidRPr="001E1684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організація переходу дитини до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заклад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дошкільної осв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іти (програми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) та забезпечення наступності у цьому процесі;</w:t>
      </w:r>
    </w:p>
    <w:p w:rsidR="003B483A" w:rsidRPr="001E1684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створення батьківських груп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„Батьки для батьків”;</w:t>
      </w:r>
    </w:p>
    <w:p w:rsidR="003B483A" w:rsidRPr="001E1684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створення фонду 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розвивальних іграшок та реабілітаційного обладнання для дітей;</w:t>
      </w:r>
    </w:p>
    <w:p w:rsidR="003B483A" w:rsidRPr="001E1684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створення психотерапевтичних груп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сімей;</w:t>
      </w:r>
    </w:p>
    <w:p w:rsidR="003B483A" w:rsidRPr="001E1684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розроблення 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програми для братів та сестер; </w:t>
      </w:r>
    </w:p>
    <w:p w:rsidR="003B483A" w:rsidRPr="001E1684" w:rsidRDefault="003B483A" w:rsidP="003B483A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додаткові заходи, які можуть здійснюватися за наявності ресурсів у надавача послуги раннього втручання.</w:t>
      </w:r>
    </w:p>
    <w:p w:rsidR="003B483A" w:rsidRPr="001E1684" w:rsidRDefault="003B483A" w:rsidP="003B483A">
      <w:pPr>
        <w:spacing w:line="25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B483A" w:rsidRPr="001E1684" w:rsidRDefault="003B483A" w:rsidP="003B483A">
      <w:pPr>
        <w:spacing w:line="256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A7D97" w:rsidRPr="001E1684" w:rsidRDefault="00FA7D97" w:rsidP="003B48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</w:t>
      </w:r>
    </w:p>
    <w:p w:rsidR="00FA7D97" w:rsidRPr="001E1684" w:rsidRDefault="00FA7D97" w:rsidP="00983573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Зміст та обсяг послуги 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ннього втручання, що включає вищезазначені заходи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, для кожн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ої дитини та її сім’ї 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може визначатися індивідуально залежно від ступеня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їх</w:t>
      </w:r>
      <w:r w:rsidR="00EB4E1D">
        <w:rPr>
          <w:rFonts w:ascii="Times New Roman" w:eastAsia="MS Mincho" w:hAnsi="Times New Roman" w:cs="Times New Roman"/>
          <w:sz w:val="28"/>
          <w:szCs w:val="28"/>
          <w:lang w:eastAsia="ja-JP"/>
        </w:rPr>
        <w:t>ніх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B4E1D">
        <w:rPr>
          <w:rFonts w:ascii="Times New Roman" w:eastAsia="MS Mincho" w:hAnsi="Times New Roman" w:cs="Times New Roman"/>
          <w:sz w:val="28"/>
          <w:szCs w:val="28"/>
          <w:lang w:eastAsia="ja-JP"/>
        </w:rPr>
        <w:t>індивідуальних потреб</w:t>
      </w:r>
      <w:r w:rsidR="0098357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пріоритетів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та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ресурсів надавача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послуги раннього втручання</w:t>
      </w:r>
      <w:r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A7D97" w:rsidRPr="001E1684" w:rsidRDefault="00FA7D97" w:rsidP="00FA7D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D97" w:rsidRDefault="00FA7D97" w:rsidP="00FA7D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7D97" w:rsidRPr="001E1684" w:rsidRDefault="00FA7D97" w:rsidP="00FA7D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E5E51" w:rsidRDefault="00FA7D97" w:rsidP="009950DE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1E1684" w:rsidRP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</w:t>
      </w:r>
      <w:r w:rsid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                 </w:t>
      </w:r>
    </w:p>
    <w:p w:rsidR="00536FEA" w:rsidRDefault="00BE5E51" w:rsidP="00FA7D97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</w:p>
    <w:tbl>
      <w:tblPr>
        <w:tblW w:w="1083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536FEA" w:rsidRPr="00536FEA" w:rsidTr="001457CA">
        <w:trPr>
          <w:trHeight w:val="287"/>
        </w:trPr>
        <w:tc>
          <w:tcPr>
            <w:tcW w:w="6668" w:type="dxa"/>
            <w:hideMark/>
          </w:tcPr>
          <w:p w:rsidR="00536FEA" w:rsidRPr="00536FEA" w:rsidRDefault="00536FEA" w:rsidP="0053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Генеральний   директор   Директорату</w:t>
            </w:r>
          </w:p>
          <w:p w:rsidR="00536FEA" w:rsidRPr="00536FEA" w:rsidRDefault="00536FEA" w:rsidP="0053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536FEA" w:rsidRPr="00536FEA" w:rsidRDefault="00536FEA" w:rsidP="0053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6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                                                                           </w:t>
            </w:r>
          </w:p>
          <w:p w:rsidR="00536FEA" w:rsidRPr="00536FEA" w:rsidRDefault="00536FEA" w:rsidP="0053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27" w:type="dxa"/>
          </w:tcPr>
          <w:p w:rsidR="00536FEA" w:rsidRPr="00536FEA" w:rsidRDefault="00536FEA" w:rsidP="00536FEA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536FEA" w:rsidRPr="00536FEA" w:rsidRDefault="00536FEA" w:rsidP="00536F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36FEA" w:rsidRPr="00536FEA" w:rsidRDefault="00536FEA" w:rsidP="00536F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36FEA" w:rsidRPr="00536FEA" w:rsidRDefault="00536FEA" w:rsidP="00536F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36FEA" w:rsidRPr="00536FEA" w:rsidRDefault="00536FEA" w:rsidP="00536F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  <w:p w:rsidR="00536FEA" w:rsidRPr="00536FEA" w:rsidRDefault="00536FEA" w:rsidP="00536FEA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6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1E1684" w:rsidRPr="001E1684" w:rsidRDefault="00BE5E51" w:rsidP="00FA7D97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                       </w:t>
      </w:r>
      <w:r w:rsidR="001E168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CA4C88" w:rsidRDefault="00CA4C88"/>
    <w:sectPr w:rsidR="00CA4C88" w:rsidSect="000977D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7A" w:rsidRDefault="00E86C7A" w:rsidP="009A1FF5">
      <w:pPr>
        <w:spacing w:after="0" w:line="240" w:lineRule="auto"/>
      </w:pPr>
      <w:r>
        <w:separator/>
      </w:r>
    </w:p>
  </w:endnote>
  <w:endnote w:type="continuationSeparator" w:id="0">
    <w:p w:rsidR="00E86C7A" w:rsidRDefault="00E86C7A" w:rsidP="009A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7A" w:rsidRDefault="00E86C7A" w:rsidP="009A1FF5">
      <w:pPr>
        <w:spacing w:after="0" w:line="240" w:lineRule="auto"/>
      </w:pPr>
      <w:r>
        <w:separator/>
      </w:r>
    </w:p>
  </w:footnote>
  <w:footnote w:type="continuationSeparator" w:id="0">
    <w:p w:rsidR="00E86C7A" w:rsidRDefault="00E86C7A" w:rsidP="009A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975324"/>
      <w:docPartObj>
        <w:docPartGallery w:val="Page Numbers (Top of Page)"/>
        <w:docPartUnique/>
      </w:docPartObj>
    </w:sdtPr>
    <w:sdtEndPr/>
    <w:sdtContent>
      <w:p w:rsidR="000977D3" w:rsidRDefault="000977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1D">
          <w:rPr>
            <w:noProof/>
          </w:rPr>
          <w:t>2</w:t>
        </w:r>
        <w:r>
          <w:fldChar w:fldCharType="end"/>
        </w:r>
      </w:p>
    </w:sdtContent>
  </w:sdt>
  <w:p w:rsidR="000977D3" w:rsidRDefault="00097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4"/>
    <w:rsid w:val="000977D3"/>
    <w:rsid w:val="0011555D"/>
    <w:rsid w:val="001E1684"/>
    <w:rsid w:val="00344737"/>
    <w:rsid w:val="003B483A"/>
    <w:rsid w:val="00493040"/>
    <w:rsid w:val="00536FEA"/>
    <w:rsid w:val="005D5F1B"/>
    <w:rsid w:val="0062466A"/>
    <w:rsid w:val="006353E6"/>
    <w:rsid w:val="00692E16"/>
    <w:rsid w:val="006D3F39"/>
    <w:rsid w:val="007212BA"/>
    <w:rsid w:val="00983573"/>
    <w:rsid w:val="009950DE"/>
    <w:rsid w:val="009A1FF5"/>
    <w:rsid w:val="009C3E44"/>
    <w:rsid w:val="009F2C85"/>
    <w:rsid w:val="009F3F9D"/>
    <w:rsid w:val="00AF092A"/>
    <w:rsid w:val="00BB6958"/>
    <w:rsid w:val="00BE0DCE"/>
    <w:rsid w:val="00BE5E51"/>
    <w:rsid w:val="00CA4C88"/>
    <w:rsid w:val="00D7395A"/>
    <w:rsid w:val="00E86C7A"/>
    <w:rsid w:val="00EB4E1D"/>
    <w:rsid w:val="00F07B99"/>
    <w:rsid w:val="00F97D14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37CD"/>
  <w15:chartTrackingRefBased/>
  <w15:docId w15:val="{6629727E-C1DD-4741-81FA-C52408D9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1FF5"/>
  </w:style>
  <w:style w:type="paragraph" w:styleId="a5">
    <w:name w:val="footer"/>
    <w:basedOn w:val="a"/>
    <w:link w:val="a6"/>
    <w:uiPriority w:val="99"/>
    <w:unhideWhenUsed/>
    <w:rsid w:val="009A1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1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24</cp:revision>
  <cp:lastPrinted>2021-01-25T13:18:00Z</cp:lastPrinted>
  <dcterms:created xsi:type="dcterms:W3CDTF">2020-12-04T12:56:00Z</dcterms:created>
  <dcterms:modified xsi:type="dcterms:W3CDTF">2021-02-08T09:28:00Z</dcterms:modified>
</cp:coreProperties>
</file>